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580" w:lineRule="exact"/>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w:t>
      </w:r>
      <w:bookmarkStart w:id="0" w:name="_GoBack"/>
      <w:bookmarkEnd w:id="0"/>
      <w:r>
        <w:rPr>
          <w:rFonts w:hint="eastAsia" w:ascii="楷体_GB2312" w:hAnsi="楷体_GB2312" w:eastAsia="楷体_GB2312" w:cs="楷体_GB2312"/>
          <w:sz w:val="32"/>
          <w:szCs w:val="32"/>
          <w:lang w:val="en-US" w:eastAsia="zh-CN"/>
        </w:rPr>
        <w:t>政府办党组书记、主任   步国旗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ascii="仿宋_GB2312" w:hAnsi="宋体" w:eastAsia="仿宋_GB2312" w:cs="仿宋_GB2312"/>
          <w:i w:val="0"/>
          <w:iCs w:val="0"/>
          <w:caps w:val="0"/>
          <w:spacing w:val="0"/>
          <w:sz w:val="32"/>
          <w:szCs w:val="32"/>
          <w:shd w:val="clear" w:fill="FFFFFF"/>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年，在县委、县政府的坚强领导下，</w:t>
      </w:r>
      <w:r>
        <w:rPr>
          <w:rFonts w:ascii="仿宋_GB2312" w:hAnsi="宋体" w:eastAsia="仿宋_GB2312" w:cs="仿宋_GB2312"/>
          <w:i w:val="0"/>
          <w:iCs w:val="0"/>
          <w:caps w:val="0"/>
          <w:spacing w:val="0"/>
          <w:sz w:val="32"/>
          <w:szCs w:val="32"/>
          <w:shd w:val="clear" w:fill="FFFFFF"/>
        </w:rPr>
        <w:t>我坚持以习近平新时代中国特色社会主义思想为指导，全面贯彻党的二十大精神，深入学习贯彻落实习近平法治思想，坚决贯彻落实省、市关于法治政府建设的重大决策部署，</w:t>
      </w:r>
      <w:r>
        <w:rPr>
          <w:rFonts w:hint="eastAsia" w:ascii="仿宋_GB2312" w:hAnsi="仿宋_GB2312" w:eastAsia="仿宋_GB2312" w:cs="仿宋_GB2312"/>
          <w:sz w:val="32"/>
          <w:szCs w:val="32"/>
        </w:rPr>
        <w:t>认真履行法治建设第一责任人职责，统筹推进县</w:t>
      </w:r>
      <w:r>
        <w:rPr>
          <w:rFonts w:hint="eastAsia" w:ascii="仿宋_GB2312" w:hAnsi="仿宋_GB2312" w:eastAsia="仿宋_GB2312" w:cs="仿宋_GB2312"/>
          <w:sz w:val="32"/>
          <w:szCs w:val="32"/>
          <w:lang w:eastAsia="zh-CN"/>
        </w:rPr>
        <w:t>政府</w:t>
      </w:r>
      <w:r>
        <w:rPr>
          <w:rFonts w:hint="eastAsia" w:ascii="仿宋_GB2312" w:hAnsi="仿宋_GB2312" w:eastAsia="仿宋_GB2312" w:cs="仿宋_GB2312"/>
          <w:sz w:val="32"/>
          <w:szCs w:val="32"/>
        </w:rPr>
        <w:t>办公室法治工作，在</w:t>
      </w:r>
      <w:r>
        <w:rPr>
          <w:rFonts w:hint="eastAsia" w:ascii="仿宋_GB2312" w:hAnsi="仿宋_GB2312" w:eastAsia="仿宋_GB2312" w:cs="仿宋_GB2312"/>
          <w:sz w:val="32"/>
          <w:szCs w:val="32"/>
          <w:lang w:eastAsia="zh-CN"/>
        </w:rPr>
        <w:t>办公室</w:t>
      </w:r>
      <w:r>
        <w:rPr>
          <w:rFonts w:hint="eastAsia" w:ascii="仿宋_GB2312" w:hAnsi="仿宋_GB2312" w:eastAsia="仿宋_GB2312" w:cs="仿宋_GB2312"/>
          <w:sz w:val="32"/>
          <w:szCs w:val="32"/>
        </w:rPr>
        <w:t>全体会议上多次研究法治建设工作，充分发挥“关键少数”示范带头作用，</w:t>
      </w:r>
      <w:r>
        <w:rPr>
          <w:rFonts w:ascii="仿宋_GB2312" w:hAnsi="宋体" w:eastAsia="仿宋_GB2312" w:cs="仿宋_GB2312"/>
          <w:i w:val="0"/>
          <w:iCs w:val="0"/>
          <w:caps w:val="0"/>
          <w:spacing w:val="0"/>
          <w:sz w:val="32"/>
          <w:szCs w:val="32"/>
          <w:shd w:val="clear" w:fill="FFFFFF"/>
        </w:rPr>
        <w:t>现将个人履职情况报告如下：</w:t>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rPr>
          <w:rFonts w:hint="eastAsia" w:ascii="黑体" w:hAnsi="黑体" w:eastAsia="黑体" w:cs="黑体"/>
          <w:sz w:val="32"/>
          <w:szCs w:val="32"/>
        </w:rPr>
      </w:pPr>
      <w:r>
        <w:rPr>
          <w:rFonts w:hint="eastAsia" w:ascii="黑体" w:hAnsi="黑体" w:eastAsia="黑体" w:cs="黑体"/>
          <w:sz w:val="32"/>
          <w:szCs w:val="32"/>
        </w:rPr>
        <w:t>一、履职情况</w:t>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（一）聚焦统筹推进，下好法治政府建设“先手棋”。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加强组织领导。建立了主要负责人统一领导、分管领导分工负责、各科室各司其职、干部群众积极参与的领导体制和工作机制，研究解决本单位关于法治建设重大问题。牢固树立依法行政的理念，认真贯彻落实《党政主要负责人履行推进法治建设第一责任人职责规定》，将法治建设纳入</w:t>
      </w:r>
      <w:r>
        <w:rPr>
          <w:rFonts w:hint="eastAsia" w:ascii="仿宋_GB2312" w:hAnsi="仿宋_GB2312" w:eastAsia="仿宋_GB2312" w:cs="仿宋_GB2312"/>
          <w:sz w:val="32"/>
          <w:szCs w:val="32"/>
          <w:lang w:eastAsia="zh-CN"/>
        </w:rPr>
        <w:t>办公室</w:t>
      </w:r>
      <w:r>
        <w:rPr>
          <w:rFonts w:hint="eastAsia" w:ascii="仿宋_GB2312" w:hAnsi="仿宋_GB2312" w:eastAsia="仿宋_GB2312" w:cs="仿宋_GB2312"/>
          <w:sz w:val="32"/>
          <w:szCs w:val="32"/>
        </w:rPr>
        <w:t>年度工作计划，与</w:t>
      </w:r>
      <w:r>
        <w:rPr>
          <w:rFonts w:hint="eastAsia" w:ascii="仿宋_GB2312" w:hAnsi="仿宋_GB2312" w:eastAsia="仿宋_GB2312" w:cs="仿宋_GB2312"/>
          <w:sz w:val="32"/>
          <w:szCs w:val="32"/>
          <w:lang w:eastAsia="zh-CN"/>
        </w:rPr>
        <w:t>办公室其他业务</w:t>
      </w:r>
      <w:r>
        <w:rPr>
          <w:rFonts w:hint="eastAsia" w:ascii="仿宋_GB2312" w:hAnsi="仿宋_GB2312" w:eastAsia="仿宋_GB2312" w:cs="仿宋_GB2312"/>
          <w:sz w:val="32"/>
          <w:szCs w:val="32"/>
        </w:rPr>
        <w:t>工作同部署、同推进、同落实。二是强化制度保证。建立健全科学、民主、依法决策机制，认真贯彻执行民主集中制，对“三重一大”事项进行集体研究决策，确保决策依法依规。</w:t>
      </w:r>
      <w:r>
        <w:rPr>
          <w:rFonts w:hint="eastAsia" w:ascii="仿宋_GB2312" w:hAnsi="仿宋_GB2312" w:eastAsia="仿宋_GB2312" w:cs="仿宋_GB2312"/>
          <w:sz w:val="32"/>
          <w:szCs w:val="32"/>
          <w:lang w:eastAsia="zh-CN"/>
        </w:rPr>
        <w:t>三是积极化解行政争议。</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,共接到</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rPr>
        <w:t>复议申请</w:t>
      </w:r>
      <w:r>
        <w:rPr>
          <w:rFonts w:hint="eastAsia" w:ascii="仿宋_GB2312" w:hAnsi="仿宋_GB2312" w:eastAsia="仿宋_GB2312" w:cs="仿宋_GB2312"/>
          <w:sz w:val="32"/>
          <w:szCs w:val="32"/>
          <w:lang w:val="en-US" w:eastAsia="zh-CN"/>
        </w:rPr>
        <w:t>89</w:t>
      </w:r>
      <w:r>
        <w:rPr>
          <w:rFonts w:hint="eastAsia" w:ascii="仿宋_GB2312" w:hAnsi="仿宋_GB2312" w:eastAsia="仿宋_GB2312" w:cs="仿宋_GB2312"/>
          <w:sz w:val="32"/>
          <w:szCs w:val="32"/>
        </w:rPr>
        <w:t>起,</w:t>
      </w:r>
      <w:r>
        <w:rPr>
          <w:rFonts w:hint="eastAsia" w:ascii="仿宋_GB2312" w:hAnsi="仿宋_GB2312" w:eastAsia="仿宋_GB2312" w:cs="仿宋_GB2312"/>
          <w:sz w:val="32"/>
          <w:szCs w:val="40"/>
          <w:lang w:val="en-US" w:eastAsia="zh-CN"/>
        </w:rPr>
        <w:t>立案受理35起，不予受理7起，案前调解处理47起，</w:t>
      </w:r>
      <w:r>
        <w:rPr>
          <w:rFonts w:hint="eastAsia" w:ascii="仿宋_GB2312" w:hAnsi="仿宋_GB2312" w:eastAsia="仿宋_GB2312" w:cs="仿宋_GB2312"/>
          <w:sz w:val="32"/>
          <w:szCs w:val="32"/>
        </w:rPr>
        <w:t>法定期限内结案率100%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复议后诉讼案件胜诉率100%。全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行政复议案件简案快审率达</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疑难</w:t>
      </w:r>
      <w:r>
        <w:rPr>
          <w:rFonts w:hint="eastAsia" w:ascii="仿宋_GB2312" w:hAnsi="仿宋_GB2312" w:eastAsia="仿宋_GB2312" w:cs="仿宋_GB2312"/>
          <w:sz w:val="32"/>
          <w:szCs w:val="32"/>
        </w:rPr>
        <w:t>复杂案件</w:t>
      </w:r>
      <w:r>
        <w:rPr>
          <w:rFonts w:hint="eastAsia" w:ascii="仿宋_GB2312" w:hAnsi="仿宋_GB2312" w:eastAsia="仿宋_GB2312" w:cs="仿宋_GB2312"/>
          <w:sz w:val="32"/>
          <w:szCs w:val="32"/>
          <w:lang w:val="en-US" w:eastAsia="zh-CN"/>
        </w:rPr>
        <w:t>实地</w:t>
      </w:r>
      <w:r>
        <w:rPr>
          <w:rFonts w:hint="eastAsia" w:ascii="仿宋_GB2312" w:hAnsi="仿宋_GB2312" w:eastAsia="仿宋_GB2312" w:cs="仿宋_GB2312"/>
          <w:sz w:val="32"/>
          <w:szCs w:val="32"/>
        </w:rPr>
        <w:t>调查比率超过</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调解结案率达52%以上。共制发行政复议意见书3份，对城市管理、市场监管、公安等机关的行政行为进行规范，充分发挥了行政复议制约监督效能。</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年，县政府</w:t>
      </w:r>
      <w:r>
        <w:rPr>
          <w:rFonts w:hint="eastAsia" w:ascii="仿宋_GB2312" w:hAnsi="仿宋_GB2312" w:eastAsia="仿宋_GB2312" w:cs="仿宋_GB2312"/>
          <w:sz w:val="32"/>
          <w:szCs w:val="32"/>
        </w:rPr>
        <w:t>共有行政应诉案件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件，</w:t>
      </w:r>
      <w:r>
        <w:rPr>
          <w:rFonts w:hint="eastAsia" w:ascii="仿宋_GB2312" w:eastAsia="仿宋_GB2312"/>
          <w:sz w:val="32"/>
          <w:szCs w:val="32"/>
          <w:lang w:val="en-US" w:eastAsia="zh-CN"/>
        </w:rPr>
        <w:t>被诉机关行政机关负责人均按规定出庭应诉，</w:t>
      </w:r>
      <w:r>
        <w:rPr>
          <w:rFonts w:hint="eastAsia" w:ascii="仿宋_GB2312" w:hAnsi="仿宋_GB2312" w:eastAsia="仿宋_GB2312" w:cs="仿宋_GB2312"/>
          <w:sz w:val="32"/>
          <w:szCs w:val="32"/>
        </w:rPr>
        <w:t>出庭应诉率100%</w:t>
      </w:r>
      <w:r>
        <w:rPr>
          <w:rFonts w:hint="eastAsia" w:ascii="仿宋_GB2312" w:hAnsi="仿宋_GB2312" w:eastAsia="仿宋_GB2312" w:cs="仿宋_GB2312"/>
          <w:sz w:val="32"/>
          <w:szCs w:val="32"/>
          <w:lang w:eastAsia="zh-CN"/>
        </w:rPr>
        <w:t>，一审败诉案件数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是健全监督机制。健全重大行政决策程序规定，明确审查范围、审查内容、审查程序，持续推进决策质量和效率提升。严格落实法治政府建设情况报告制度，定期向上级部门报告年度法治政府建设情况并通过政务网站向社会公开，主动接受人大监督、自觉接受司法监督、社会监督和舆论监督。</w:t>
      </w:r>
    </w:p>
    <w:p>
      <w:pPr>
        <w:pStyle w:val="7"/>
        <w:keepNext w:val="0"/>
        <w:keepLines w:val="0"/>
        <w:pageBreakBefore w:val="0"/>
        <w:widowControl w:val="0"/>
        <w:kinsoku/>
        <w:wordWrap/>
        <w:overflowPunct/>
        <w:topLinePunct w:val="0"/>
        <w:autoSpaceDE/>
        <w:autoSpaceDN/>
        <w:bidi w:val="0"/>
        <w:adjustRightInd/>
        <w:snapToGrid/>
        <w:spacing w:line="580" w:lineRule="exact"/>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（二）聚焦全面突破，讲好重法尚德“好故事”。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坚持带头学习贯彻落实习近平总书记全面依法治国新理念新思想新战略和党中央关于全面依法治国重大决策部署，认真落实领导干部带头学法、主要负责人带头讲法、集体学法制度，将习近平法治思想列入办公室集体学习计划。按照《宝丰县法治政府建设实施方案（2022-2025年）》的要求，积极履行法治建设职责，将法治思想贯彻工作各环节，提升服务效能。</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把普法教育作为干部队伍学习教育计划重点内容，建立健全学法制度，通过全体会、公文夜校等方式，深入学习宣传贯彻习近平法治思想和《中华人民共和国宪法》《中华人民共和国民法典》《行政处罚法》《行政诉讼法》等国家法律和党内法规</w:t>
      </w:r>
      <w:r>
        <w:rPr>
          <w:rFonts w:hint="eastAsia" w:ascii="仿宋_GB2312" w:hAnsi="仿宋_GB2312" w:eastAsia="仿宋_GB2312" w:cs="仿宋_GB2312"/>
          <w:sz w:val="32"/>
          <w:szCs w:val="32"/>
          <w:lang w:eastAsia="zh-CN"/>
        </w:rPr>
        <w:t>，在今年特别组织了新修订的</w:t>
      </w:r>
      <w:r>
        <w:rPr>
          <w:rFonts w:hint="eastAsia" w:ascii="仿宋_GB2312" w:hAnsi="仿宋_GB2312" w:eastAsia="仿宋_GB2312" w:cs="仿宋_GB2312"/>
          <w:sz w:val="32"/>
          <w:szCs w:val="32"/>
        </w:rPr>
        <w:t>《行政</w:t>
      </w:r>
      <w:r>
        <w:rPr>
          <w:rFonts w:hint="eastAsia" w:ascii="仿宋_GB2312" w:hAnsi="仿宋_GB2312" w:eastAsia="仿宋_GB2312" w:cs="仿宋_GB2312"/>
          <w:sz w:val="32"/>
          <w:szCs w:val="32"/>
          <w:lang w:eastAsia="zh-CN"/>
        </w:rPr>
        <w:t>复议</w:t>
      </w:r>
      <w:r>
        <w:rPr>
          <w:rFonts w:hint="eastAsia" w:ascii="仿宋_GB2312" w:hAnsi="仿宋_GB2312" w:eastAsia="仿宋_GB2312" w:cs="仿宋_GB2312"/>
          <w:sz w:val="32"/>
          <w:szCs w:val="32"/>
        </w:rPr>
        <w:t>法》</w:t>
      </w:r>
      <w:r>
        <w:rPr>
          <w:rFonts w:hint="eastAsia" w:ascii="仿宋_GB2312" w:hAnsi="仿宋_GB2312" w:eastAsia="仿宋_GB2312" w:cs="仿宋_GB2312"/>
          <w:sz w:val="32"/>
          <w:szCs w:val="32"/>
          <w:lang w:eastAsia="zh-CN"/>
        </w:rPr>
        <w:t>专题培训会，邀请到省政府办公厅应诉二处的领导，对全县各乡镇、各县直单位进行新法培训，为迎接新法的实施做好充分的准备</w:t>
      </w:r>
      <w:r>
        <w:rPr>
          <w:rFonts w:hint="eastAsia" w:ascii="仿宋_GB2312" w:hAnsi="仿宋_GB2312" w:eastAsia="仿宋_GB2312" w:cs="仿宋_GB2312"/>
          <w:sz w:val="32"/>
          <w:szCs w:val="32"/>
        </w:rPr>
        <w:t>。常态化开展法治内容学习，组织单位干部职工参加国家工作人员在线学法用法答题，提升干部职工运用法治思维和法治方式的能力。</w:t>
      </w:r>
    </w:p>
    <w:p>
      <w:pPr>
        <w:pStyle w:val="7"/>
        <w:keepNext w:val="0"/>
        <w:keepLines w:val="0"/>
        <w:pageBreakBefore w:val="0"/>
        <w:widowControl w:val="0"/>
        <w:kinsoku/>
        <w:wordWrap/>
        <w:overflowPunct/>
        <w:topLinePunct w:val="0"/>
        <w:autoSpaceDE/>
        <w:autoSpaceDN/>
        <w:bidi w:val="0"/>
        <w:adjustRightInd/>
        <w:snapToGrid/>
        <w:spacing w:line="580" w:lineRule="exact"/>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（三）聚焦提质增效，提升行政服务能力“新高度”。</w:t>
      </w:r>
    </w:p>
    <w:p>
      <w:pPr>
        <w:pStyle w:val="7"/>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一是建立健全政府法律顾问制度、公职律师制度，依法制定行政文件。与河南倚天剑律师事务所签订聘请法律顾问协议，本单位申请公职律师2名，切实发挥法律顾问、公职律师作用，同时</w:t>
      </w:r>
      <w:r>
        <w:rPr>
          <w:rFonts w:hint="eastAsia" w:ascii="仿宋_GB2312" w:eastAsia="仿宋_GB2312"/>
          <w:sz w:val="32"/>
          <w:szCs w:val="32"/>
          <w:lang w:val="en-US" w:eastAsia="zh-CN"/>
        </w:rPr>
        <w:t>发挥调解优势，延伸调解、溯源化解，切实提高行政争议实质化解效果。二是坚持习近平法治思想中的纠纷化解理论为指导</w:t>
      </w:r>
      <w:r>
        <w:rPr>
          <w:rFonts w:hint="eastAsia" w:ascii="仿宋_GB2312" w:hAnsi="仿宋_GB2312" w:eastAsia="仿宋_GB2312" w:cs="仿宋_GB2312"/>
          <w:sz w:val="32"/>
          <w:szCs w:val="32"/>
          <w:lang w:val="en-US" w:eastAsia="zh-CN"/>
        </w:rPr>
        <w:t>，紧紧扭住突出化解行政争议和监督依法行政功能导向这个牛鼻子，重视调解工作，在收到申请书后，及时与被申请人和申请人联系，协商调解，做好前端处置，让办案过程提质增效。三是充分利用报刊、广播、电视、网络等媒体，宣传行政复议、行政应诉法律制度的基本知识，宣传行政复议“定纷止争、案结事了”的社会效果，提升行政复议公信力。四是全面深化推动政务公开。深入推进政务公开制度化规范化建设。认真贯彻落实《中华人民共和国政府信息公开条例》，对以县政府及县政府办公室名义制发的文件坚持“公开为原则，不公开为例外”的方针，遵循公正、公开、便民的原则，全面落实政府信息主动公开和依申请公开制度，确保政务信息做到应公开尽公开。</w:t>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rPr>
          <w:rFonts w:hint="eastAsia" w:ascii="黑体" w:hAnsi="黑体" w:eastAsia="黑体" w:cs="黑体"/>
          <w:sz w:val="32"/>
          <w:szCs w:val="32"/>
        </w:rPr>
      </w:pPr>
      <w:r>
        <w:rPr>
          <w:rFonts w:hint="eastAsia" w:ascii="黑体" w:hAnsi="黑体" w:eastAsia="黑体" w:cs="黑体"/>
          <w:sz w:val="32"/>
          <w:szCs w:val="32"/>
        </w:rPr>
        <w:t>二、存在的问题</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法治建设工作责任压力传导不够。部分</w:t>
      </w:r>
      <w:r>
        <w:rPr>
          <w:rFonts w:hint="eastAsia" w:ascii="仿宋_GB2312" w:hAnsi="仿宋_GB2312" w:eastAsia="仿宋_GB2312" w:cs="仿宋_GB2312"/>
          <w:sz w:val="32"/>
          <w:szCs w:val="32"/>
          <w:lang w:eastAsia="zh-CN"/>
        </w:rPr>
        <w:t>同志</w:t>
      </w:r>
      <w:r>
        <w:rPr>
          <w:rFonts w:hint="eastAsia" w:ascii="仿宋_GB2312" w:hAnsi="仿宋_GB2312" w:eastAsia="仿宋_GB2312" w:cs="仿宋_GB2312"/>
          <w:sz w:val="32"/>
          <w:szCs w:val="32"/>
        </w:rPr>
        <w:t>法治政府建设和法律专业知识欠缺，观念不够强，法治政府建设整体推进还不够平衡。</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b w:val="0"/>
          <w:bCs w:val="0"/>
          <w:color w:val="000000"/>
          <w:spacing w:val="0"/>
          <w:w w:val="100"/>
          <w:sz w:val="32"/>
          <w:szCs w:val="32"/>
          <w:lang w:val="en-US" w:eastAsia="zh-CN"/>
        </w:rPr>
        <w:t>个人法治思维、法治能力有待进一步提升</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法治宣传工作仍需加强。法治宣传载体还不够鲜活，在宣传深度和广度上有待提高，群众参与的积极性、主动性还需进一步提升。</w:t>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rPr>
          <w:rFonts w:hint="eastAsia" w:ascii="黑体" w:hAnsi="黑体" w:eastAsia="黑体" w:cs="黑体"/>
          <w:sz w:val="32"/>
          <w:szCs w:val="32"/>
        </w:rPr>
      </w:pPr>
      <w:r>
        <w:rPr>
          <w:rFonts w:hint="eastAsia" w:ascii="黑体" w:hAnsi="黑体" w:eastAsia="黑体" w:cs="黑体"/>
          <w:sz w:val="32"/>
          <w:szCs w:val="32"/>
        </w:rPr>
        <w:t>三、下一步打算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加大学法用法力度，提高依法履职能力。坚持党组理论学习、公文夜校学习制度，以习近平新时代中国特色社会主义思想为指导，学习以宪法为核心的中国特色社会主义基本法律知识、认识和领会社会主义法治理念。切实把学习法律法规、夯实法治观念作为增加工作本领、提高依法行政水平的第一能力来锻造，加快知识更新、优化知识结构、拓宽眼界和视野。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认真履行岗位职责，推进法治建设管理工作。切实履行第一责任人职责，在推进法治政府建设工作中自觉发挥领导核心作用，加强对法治建设的组织领导，定期对普法工作开展情况进行督促检查，对法治建设作出规划部署，明确工作目标、措施和阶段性工作任务。积极研究和解决新形势下行政复议、依法行政中遇到的新情况、新问题，确保法治建设管理工作顺利推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大力推进普法工作，营造学法用法良好氛围。努力加大普法力度，组织开展尊法学法守法用法主题教育，充分利用网络平台开展线上宣传，积极开展专题讲座、法制图片展等具有较强感染力和针对性的教育方式，持续开展群众性法制宣传教育，重点向群众宣传《宪法》《民法典》《行政复议法》等法律法规，提高全社会法制观念。进一步完善和推进责任追究制度，切实把“法定职责必须为、法无授权不可为”的要求严格落到实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280" w:firstLineChars="100"/>
        <w:rPr>
          <w:sz w:val="28"/>
          <w:szCs w:val="28"/>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0214FEB"/>
    <w:rsid w:val="01D947F4"/>
    <w:rsid w:val="021C46D3"/>
    <w:rsid w:val="034A206E"/>
    <w:rsid w:val="064C1BBD"/>
    <w:rsid w:val="085B0830"/>
    <w:rsid w:val="0C8D1E1D"/>
    <w:rsid w:val="0D231A50"/>
    <w:rsid w:val="0FB653A7"/>
    <w:rsid w:val="122A3943"/>
    <w:rsid w:val="12B13341"/>
    <w:rsid w:val="188F276E"/>
    <w:rsid w:val="19314710"/>
    <w:rsid w:val="1A772AFE"/>
    <w:rsid w:val="1B03093D"/>
    <w:rsid w:val="1B3C54EB"/>
    <w:rsid w:val="1C8D6A43"/>
    <w:rsid w:val="1DBB7A54"/>
    <w:rsid w:val="203D18EC"/>
    <w:rsid w:val="23AD47FE"/>
    <w:rsid w:val="24B82943"/>
    <w:rsid w:val="263B1148"/>
    <w:rsid w:val="27B634B0"/>
    <w:rsid w:val="29AC30AC"/>
    <w:rsid w:val="2BDE6DF3"/>
    <w:rsid w:val="2BFD18BB"/>
    <w:rsid w:val="2C443EA6"/>
    <w:rsid w:val="307C175D"/>
    <w:rsid w:val="32C80FF4"/>
    <w:rsid w:val="37FA2661"/>
    <w:rsid w:val="3A41175C"/>
    <w:rsid w:val="3BF85EF3"/>
    <w:rsid w:val="3DBC735E"/>
    <w:rsid w:val="3DE520C1"/>
    <w:rsid w:val="3EA4245C"/>
    <w:rsid w:val="3FFDEC68"/>
    <w:rsid w:val="40A906C1"/>
    <w:rsid w:val="41137B01"/>
    <w:rsid w:val="41CC7B26"/>
    <w:rsid w:val="434E63DA"/>
    <w:rsid w:val="43A80F85"/>
    <w:rsid w:val="44FC079F"/>
    <w:rsid w:val="45374382"/>
    <w:rsid w:val="478F33D5"/>
    <w:rsid w:val="4A676C08"/>
    <w:rsid w:val="4F97040C"/>
    <w:rsid w:val="4FF70B32"/>
    <w:rsid w:val="50670670"/>
    <w:rsid w:val="50AE4ECF"/>
    <w:rsid w:val="54DE4325"/>
    <w:rsid w:val="54FD1ECF"/>
    <w:rsid w:val="5634703C"/>
    <w:rsid w:val="57F63E53"/>
    <w:rsid w:val="583475DA"/>
    <w:rsid w:val="595E18A8"/>
    <w:rsid w:val="5CA32835"/>
    <w:rsid w:val="5CA5334F"/>
    <w:rsid w:val="5DEB365F"/>
    <w:rsid w:val="6006050F"/>
    <w:rsid w:val="6154354C"/>
    <w:rsid w:val="61694D6B"/>
    <w:rsid w:val="631723D8"/>
    <w:rsid w:val="63551F82"/>
    <w:rsid w:val="637D5D16"/>
    <w:rsid w:val="64267BE2"/>
    <w:rsid w:val="655B30F6"/>
    <w:rsid w:val="65964EBD"/>
    <w:rsid w:val="661C22C5"/>
    <w:rsid w:val="66977BFE"/>
    <w:rsid w:val="67727D79"/>
    <w:rsid w:val="67A02E6A"/>
    <w:rsid w:val="6AE27824"/>
    <w:rsid w:val="6BF6114A"/>
    <w:rsid w:val="6CE94386"/>
    <w:rsid w:val="6FBB1165"/>
    <w:rsid w:val="71EA5C3B"/>
    <w:rsid w:val="743063C6"/>
    <w:rsid w:val="745D60F6"/>
    <w:rsid w:val="748F0751"/>
    <w:rsid w:val="77C56E67"/>
    <w:rsid w:val="78803227"/>
    <w:rsid w:val="78EC4260"/>
    <w:rsid w:val="79664754"/>
    <w:rsid w:val="7B9A6A56"/>
    <w:rsid w:val="7C607363"/>
    <w:rsid w:val="7CC81E21"/>
    <w:rsid w:val="7D2A027E"/>
    <w:rsid w:val="7E283FE2"/>
    <w:rsid w:val="7F243DAF"/>
    <w:rsid w:val="BD3F772F"/>
    <w:rsid w:val="D6DF0126"/>
    <w:rsid w:val="D97B37C7"/>
    <w:rsid w:val="FFFAE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BodyText"/>
    <w:basedOn w:val="1"/>
    <w:next w:val="1"/>
    <w:autoRedefine/>
    <w:qFormat/>
    <w:uiPriority w:val="0"/>
    <w:pPr>
      <w:spacing w:after="0"/>
      <w:jc w:val="both"/>
      <w:textAlignment w:val="baseline"/>
    </w:pPr>
    <w:rPr>
      <w:rFonts w:ascii="宋体" w:hAnsi="宋体" w:eastAsia="宋体" w:cs="Times New Roman"/>
      <w:kern w:val="2"/>
      <w:sz w:val="32"/>
      <w:szCs w:val="3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1968</Words>
  <Characters>1991</Characters>
  <Lines>0</Lines>
  <Paragraphs>0</Paragraphs>
  <TotalTime>0</TotalTime>
  <ScaleCrop>false</ScaleCrop>
  <LinksUpToDate>false</LinksUpToDate>
  <CharactersWithSpaces>2010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zongheke</dc:creator>
  <cp:lastModifiedBy>大海</cp:lastModifiedBy>
  <dcterms:modified xsi:type="dcterms:W3CDTF">2024-02-20T08:12:46Z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BF7A7E190DCC49948B951D71AF0D26B1_13</vt:lpwstr>
  </property>
</Properties>
</file>